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D9A442">
      <w:pPr>
        <w:pStyle w:val="16"/>
        <w:numPr>
          <w:ilvl w:val="1"/>
          <w:numId w:val="0"/>
        </w:numPr>
        <w:spacing w:before="156" w:after="156"/>
        <w:ind w:leftChars="0"/>
        <w:jc w:val="center"/>
        <w:rPr>
          <w:rFonts w:hint="eastAsia"/>
          <w:sz w:val="44"/>
          <w:szCs w:val="44"/>
        </w:rPr>
      </w:pPr>
      <w:r>
        <w:rPr>
          <w:rFonts w:hint="eastAsia"/>
          <w:sz w:val="44"/>
          <w:szCs w:val="44"/>
          <w:lang w:val="en-US" w:eastAsia="zh-CN"/>
        </w:rPr>
        <w:t>司法鉴定风险告知书</w:t>
      </w:r>
    </w:p>
    <w:p w14:paraId="7902E2ED">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sz w:val="30"/>
          <w:szCs w:val="30"/>
          <w:u w:val="single"/>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u w:val="single"/>
          <w:lang w:val="en-US" w:eastAsia="zh-CN"/>
        </w:rPr>
        <w:t>豫至公司鉴[    ]痕鉴字第   号</w:t>
      </w:r>
    </w:p>
    <w:tbl>
      <w:tblPr>
        <w:tblStyle w:val="7"/>
        <w:tblW w:w="95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1"/>
      </w:tblGrid>
      <w:tr w14:paraId="106FE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71" w:type="dxa"/>
          </w:tcPr>
          <w:p w14:paraId="40D91082">
            <w:pPr>
              <w:keepNext w:val="0"/>
              <w:keepLines w:val="0"/>
              <w:pageBreakBefore w:val="0"/>
              <w:widowControl/>
              <w:numPr>
                <w:ilvl w:val="0"/>
                <w:numId w:val="0"/>
              </w:numPr>
              <w:tabs>
                <w:tab w:val="left" w:pos="0"/>
              </w:tabs>
              <w:kinsoku/>
              <w:overflowPunct/>
              <w:topLinePunct w:val="0"/>
              <w:autoSpaceDE/>
              <w:autoSpaceDN/>
              <w:bidi w:val="0"/>
              <w:adjustRightInd w:val="0"/>
              <w:snapToGrid w:val="0"/>
              <w:spacing w:line="320" w:lineRule="exact"/>
              <w:ind w:left="0" w:firstLine="480" w:firstLineChars="200"/>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根据我国诉讼法的有关规定，司法鉴定是司法机关为了解决案件中涉及的专门性问题，依照《全国人大常委会关于司法鉴定管理问题的决定》的规定，委托列入司法鉴定人名册的司法鉴定人所从事的鉴别和判断并提供鉴定意见的活动。由于鉴定涉及专业问题，因此有必要将其中的一些情况予以告知、提示：</w:t>
            </w:r>
          </w:p>
          <w:p w14:paraId="40921D9E">
            <w:pPr>
              <w:keepNext w:val="0"/>
              <w:keepLines w:val="0"/>
              <w:pageBreakBefore w:val="0"/>
              <w:widowControl/>
              <w:numPr>
                <w:ilvl w:val="0"/>
                <w:numId w:val="0"/>
              </w:numPr>
              <w:tabs>
                <w:tab w:val="left" w:pos="0"/>
              </w:tabs>
              <w:kinsoku/>
              <w:overflowPunct/>
              <w:topLinePunct w:val="0"/>
              <w:autoSpaceDE/>
              <w:autoSpaceDN/>
              <w:bidi w:val="0"/>
              <w:adjustRightInd w:val="0"/>
              <w:snapToGrid w:val="0"/>
              <w:spacing w:line="320" w:lineRule="exact"/>
              <w:ind w:left="0" w:leftChars="0" w:firstLine="482" w:firstLineChars="200"/>
              <w:textAlignment w:val="auto"/>
              <w:rPr>
                <w:rFonts w:hint="eastAsia" w:ascii="仿宋_GB2312" w:hAnsi="仿宋_GB2312" w:eastAsia="仿宋_GB2312" w:cs="仿宋_GB2312"/>
                <w:b/>
                <w:bCs/>
                <w:color w:val="000000"/>
                <w:kern w:val="0"/>
                <w:sz w:val="24"/>
                <w:szCs w:val="24"/>
              </w:rPr>
            </w:pPr>
            <w:r>
              <w:rPr>
                <w:rFonts w:hint="eastAsia" w:ascii="仿宋_GB2312" w:hAnsi="仿宋_GB2312" w:eastAsia="仿宋_GB2312" w:cs="仿宋_GB2312"/>
                <w:b/>
                <w:bCs/>
                <w:color w:val="000000"/>
                <w:kern w:val="0"/>
                <w:sz w:val="24"/>
                <w:szCs w:val="24"/>
              </w:rPr>
              <w:t>一、鉴定意见属于证据</w:t>
            </w:r>
          </w:p>
          <w:p w14:paraId="544C762C">
            <w:pPr>
              <w:keepNext w:val="0"/>
              <w:keepLines w:val="0"/>
              <w:pageBreakBefore w:val="0"/>
              <w:widowControl/>
              <w:numPr>
                <w:ilvl w:val="0"/>
                <w:numId w:val="0"/>
              </w:numPr>
              <w:tabs>
                <w:tab w:val="left" w:pos="0"/>
              </w:tabs>
              <w:kinsoku/>
              <w:overflowPunct/>
              <w:topLinePunct w:val="0"/>
              <w:autoSpaceDE/>
              <w:autoSpaceDN/>
              <w:bidi w:val="0"/>
              <w:adjustRightInd w:val="0"/>
              <w:snapToGrid w:val="0"/>
              <w:spacing w:line="320" w:lineRule="exact"/>
              <w:ind w:left="0" w:firstLine="480" w:firstLineChars="200"/>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 xml:space="preserve">鉴定意见是鉴定人根据相关学科的专业知识，依据法律规定，客观、公正、科学地提出的专业性意见，属于法律规定的证据之一。是否成为定案的根据，取决于法官的审查和判断，鉴定人并无决定权和影响法官采信鉴定意见的能力。如果法官不予采信，根据诉讼法的规定，法官有权启动新的鉴定程序。 </w:t>
            </w:r>
          </w:p>
          <w:p w14:paraId="03630184">
            <w:pPr>
              <w:keepNext w:val="0"/>
              <w:keepLines w:val="0"/>
              <w:pageBreakBefore w:val="0"/>
              <w:widowControl/>
              <w:numPr>
                <w:ilvl w:val="0"/>
                <w:numId w:val="0"/>
              </w:numPr>
              <w:tabs>
                <w:tab w:val="left" w:pos="0"/>
              </w:tabs>
              <w:kinsoku/>
              <w:overflowPunct/>
              <w:topLinePunct w:val="0"/>
              <w:autoSpaceDE/>
              <w:autoSpaceDN/>
              <w:bidi w:val="0"/>
              <w:adjustRightInd w:val="0"/>
              <w:snapToGrid w:val="0"/>
              <w:spacing w:line="320" w:lineRule="exact"/>
              <w:ind w:left="0" w:leftChars="0" w:firstLine="482" w:firstLineChars="200"/>
              <w:textAlignment w:val="auto"/>
              <w:rPr>
                <w:rFonts w:hint="eastAsia" w:ascii="仿宋_GB2312" w:hAnsi="仿宋_GB2312" w:eastAsia="仿宋_GB2312" w:cs="仿宋_GB2312"/>
                <w:b/>
                <w:bCs/>
                <w:color w:val="000000"/>
                <w:kern w:val="0"/>
                <w:sz w:val="24"/>
                <w:szCs w:val="24"/>
              </w:rPr>
            </w:pPr>
            <w:r>
              <w:rPr>
                <w:rFonts w:hint="eastAsia" w:ascii="仿宋_GB2312" w:hAnsi="仿宋_GB2312" w:eastAsia="仿宋_GB2312" w:cs="仿宋_GB2312"/>
                <w:b/>
                <w:bCs/>
                <w:color w:val="000000"/>
                <w:kern w:val="0"/>
                <w:sz w:val="24"/>
                <w:szCs w:val="24"/>
              </w:rPr>
              <w:t>二、法医临床鉴定一般需要检查被鉴定人的身体</w:t>
            </w:r>
          </w:p>
          <w:p w14:paraId="18D65EDE">
            <w:pPr>
              <w:keepNext w:val="0"/>
              <w:keepLines w:val="0"/>
              <w:pageBreakBefore w:val="0"/>
              <w:widowControl/>
              <w:numPr>
                <w:ilvl w:val="0"/>
                <w:numId w:val="0"/>
              </w:numPr>
              <w:tabs>
                <w:tab w:val="left" w:pos="0"/>
              </w:tabs>
              <w:kinsoku/>
              <w:overflowPunct/>
              <w:topLinePunct w:val="0"/>
              <w:autoSpaceDE/>
              <w:autoSpaceDN/>
              <w:bidi w:val="0"/>
              <w:adjustRightInd w:val="0"/>
              <w:snapToGrid w:val="0"/>
              <w:spacing w:line="320" w:lineRule="exact"/>
              <w:ind w:left="0" w:firstLine="480" w:firstLineChars="200"/>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 xml:space="preserve">法医学鉴定除了需要审查送检的鉴定资料之外，一般需要对被鉴定人的身体进行必要的检查或者做必要的辅助检查，特殊情况下才实施书面鉴定。有关费用由被鉴定人先行垫付，请被鉴定人予以配合。 </w:t>
            </w:r>
          </w:p>
          <w:p w14:paraId="5057CA7E">
            <w:pPr>
              <w:keepNext w:val="0"/>
              <w:keepLines w:val="0"/>
              <w:pageBreakBefore w:val="0"/>
              <w:widowControl/>
              <w:numPr>
                <w:ilvl w:val="0"/>
                <w:numId w:val="0"/>
              </w:numPr>
              <w:tabs>
                <w:tab w:val="left" w:pos="0"/>
              </w:tabs>
              <w:kinsoku/>
              <w:overflowPunct/>
              <w:topLinePunct w:val="0"/>
              <w:autoSpaceDE/>
              <w:autoSpaceDN/>
              <w:bidi w:val="0"/>
              <w:adjustRightInd w:val="0"/>
              <w:snapToGrid w:val="0"/>
              <w:spacing w:line="320" w:lineRule="exact"/>
              <w:ind w:left="0" w:leftChars="0" w:firstLine="482" w:firstLineChars="200"/>
              <w:textAlignment w:val="auto"/>
              <w:rPr>
                <w:rFonts w:hint="eastAsia" w:ascii="仿宋_GB2312" w:hAnsi="仿宋_GB2312" w:eastAsia="仿宋_GB2312" w:cs="仿宋_GB2312"/>
                <w:b/>
                <w:bCs/>
                <w:color w:val="000000"/>
                <w:kern w:val="0"/>
                <w:sz w:val="24"/>
                <w:szCs w:val="24"/>
              </w:rPr>
            </w:pPr>
            <w:r>
              <w:rPr>
                <w:rFonts w:hint="eastAsia" w:ascii="仿宋_GB2312" w:hAnsi="仿宋_GB2312" w:eastAsia="仿宋_GB2312" w:cs="仿宋_GB2312"/>
                <w:b/>
                <w:bCs/>
                <w:color w:val="000000"/>
                <w:kern w:val="0"/>
                <w:sz w:val="24"/>
                <w:szCs w:val="24"/>
              </w:rPr>
              <w:t xml:space="preserve">三、鉴定可能得出不明确的鉴定意见 </w:t>
            </w:r>
          </w:p>
          <w:p w14:paraId="33D92D1E">
            <w:pPr>
              <w:keepNext w:val="0"/>
              <w:keepLines w:val="0"/>
              <w:pageBreakBefore w:val="0"/>
              <w:widowControl/>
              <w:numPr>
                <w:ilvl w:val="0"/>
                <w:numId w:val="0"/>
              </w:numPr>
              <w:tabs>
                <w:tab w:val="left" w:pos="0"/>
              </w:tabs>
              <w:kinsoku/>
              <w:overflowPunct/>
              <w:topLinePunct w:val="0"/>
              <w:autoSpaceDE/>
              <w:autoSpaceDN/>
              <w:bidi w:val="0"/>
              <w:adjustRightInd w:val="0"/>
              <w:snapToGrid w:val="0"/>
              <w:spacing w:line="320" w:lineRule="exact"/>
              <w:ind w:left="0" w:firstLine="480" w:firstLineChars="200"/>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 xml:space="preserve">鉴定意见的提出依赖于委托单位及当事人提交的鉴定材料，有时由于委托方不能按要求补充鉴定材料或者受客观条件的制约，可能得出不明确的鉴定意见或依照规定中止鉴定。所开支费用由被鉴定人承担，请被鉴定人予以配合。 </w:t>
            </w:r>
          </w:p>
          <w:p w14:paraId="0AADA550">
            <w:pPr>
              <w:keepNext w:val="0"/>
              <w:keepLines w:val="0"/>
              <w:pageBreakBefore w:val="0"/>
              <w:widowControl/>
              <w:numPr>
                <w:ilvl w:val="0"/>
                <w:numId w:val="0"/>
              </w:numPr>
              <w:tabs>
                <w:tab w:val="left" w:pos="0"/>
              </w:tabs>
              <w:kinsoku/>
              <w:overflowPunct/>
              <w:topLinePunct w:val="0"/>
              <w:autoSpaceDE/>
              <w:autoSpaceDN/>
              <w:bidi w:val="0"/>
              <w:adjustRightInd w:val="0"/>
              <w:snapToGrid w:val="0"/>
              <w:spacing w:line="320" w:lineRule="exact"/>
              <w:ind w:left="0" w:leftChars="0" w:firstLine="482" w:firstLineChars="200"/>
              <w:textAlignment w:val="auto"/>
              <w:rPr>
                <w:rFonts w:hint="eastAsia" w:ascii="仿宋_GB2312" w:hAnsi="仿宋_GB2312" w:eastAsia="仿宋_GB2312" w:cs="仿宋_GB2312"/>
                <w:b/>
                <w:bCs/>
                <w:color w:val="000000"/>
                <w:kern w:val="0"/>
                <w:sz w:val="24"/>
                <w:szCs w:val="24"/>
              </w:rPr>
            </w:pPr>
            <w:r>
              <w:rPr>
                <w:rFonts w:hint="eastAsia" w:ascii="仿宋_GB2312" w:hAnsi="仿宋_GB2312" w:eastAsia="仿宋_GB2312" w:cs="仿宋_GB2312"/>
                <w:b/>
                <w:bCs/>
                <w:color w:val="000000"/>
                <w:kern w:val="0"/>
                <w:sz w:val="24"/>
                <w:szCs w:val="24"/>
              </w:rPr>
              <w:t xml:space="preserve">四、鉴定意见具有科学、公正性 </w:t>
            </w:r>
          </w:p>
          <w:p w14:paraId="3A95755D">
            <w:pPr>
              <w:keepNext w:val="0"/>
              <w:keepLines w:val="0"/>
              <w:pageBreakBefore w:val="0"/>
              <w:widowControl/>
              <w:numPr>
                <w:ilvl w:val="0"/>
                <w:numId w:val="0"/>
              </w:numPr>
              <w:tabs>
                <w:tab w:val="left" w:pos="0"/>
              </w:tabs>
              <w:kinsoku/>
              <w:overflowPunct/>
              <w:topLinePunct w:val="0"/>
              <w:autoSpaceDE/>
              <w:autoSpaceDN/>
              <w:bidi w:val="0"/>
              <w:adjustRightInd w:val="0"/>
              <w:snapToGrid w:val="0"/>
              <w:spacing w:line="320" w:lineRule="exact"/>
              <w:ind w:left="0" w:firstLine="480" w:firstLineChars="200"/>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 xml:space="preserve">鉴定需要解决的问题是办案机关处理案件过程中遇到的疑难专业问题，鉴定人遵循科学、公正的宗旨，鉴定活动也是围绕委托单位提出的鉴定目的，依据现有送检材料来进行的。因此，鉴定意见可能对被告不利，也可能对原告不利，与鉴定申请提出方没有必然的关系。 </w:t>
            </w:r>
          </w:p>
          <w:p w14:paraId="39DB1A95">
            <w:pPr>
              <w:keepNext w:val="0"/>
              <w:keepLines w:val="0"/>
              <w:pageBreakBefore w:val="0"/>
              <w:widowControl/>
              <w:numPr>
                <w:ilvl w:val="0"/>
                <w:numId w:val="0"/>
              </w:numPr>
              <w:tabs>
                <w:tab w:val="left" w:pos="0"/>
              </w:tabs>
              <w:kinsoku/>
              <w:overflowPunct/>
              <w:topLinePunct w:val="0"/>
              <w:autoSpaceDE/>
              <w:autoSpaceDN/>
              <w:bidi w:val="0"/>
              <w:adjustRightInd w:val="0"/>
              <w:snapToGrid w:val="0"/>
              <w:spacing w:line="320" w:lineRule="exact"/>
              <w:ind w:left="0" w:leftChars="0" w:firstLine="482" w:firstLineChars="200"/>
              <w:textAlignment w:val="auto"/>
              <w:rPr>
                <w:rFonts w:hint="eastAsia" w:ascii="仿宋_GB2312" w:hAnsi="仿宋_GB2312" w:eastAsia="仿宋_GB2312" w:cs="仿宋_GB2312"/>
                <w:b/>
                <w:bCs/>
                <w:color w:val="000000"/>
                <w:kern w:val="0"/>
                <w:sz w:val="24"/>
                <w:szCs w:val="24"/>
              </w:rPr>
            </w:pPr>
            <w:r>
              <w:rPr>
                <w:rFonts w:hint="eastAsia" w:ascii="仿宋_GB2312" w:hAnsi="仿宋_GB2312" w:eastAsia="仿宋_GB2312" w:cs="仿宋_GB2312"/>
                <w:b/>
                <w:bCs/>
                <w:color w:val="000000"/>
                <w:kern w:val="0"/>
                <w:sz w:val="24"/>
                <w:szCs w:val="24"/>
              </w:rPr>
              <w:t xml:space="preserve">五、鉴定费的承担 </w:t>
            </w:r>
          </w:p>
          <w:p w14:paraId="739ADF09">
            <w:pPr>
              <w:keepNext w:val="0"/>
              <w:keepLines w:val="0"/>
              <w:pageBreakBefore w:val="0"/>
              <w:widowControl/>
              <w:numPr>
                <w:ilvl w:val="0"/>
                <w:numId w:val="0"/>
              </w:numPr>
              <w:tabs>
                <w:tab w:val="left" w:pos="0"/>
              </w:tabs>
              <w:kinsoku/>
              <w:overflowPunct/>
              <w:topLinePunct w:val="0"/>
              <w:autoSpaceDE/>
              <w:autoSpaceDN/>
              <w:bidi w:val="0"/>
              <w:adjustRightInd w:val="0"/>
              <w:snapToGrid w:val="0"/>
              <w:spacing w:line="320" w:lineRule="exact"/>
              <w:ind w:left="0" w:firstLine="480" w:firstLineChars="200"/>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 xml:space="preserve">国家有关法律明确规定鉴定需要交纳有关费用，当事人支付鉴定费，鉴定实际支出费，都属于垫付，最终由哪一方承担，由法官在裁判案件时一并决定，鉴定机构不解决有关法律问题。 </w:t>
            </w:r>
          </w:p>
          <w:p w14:paraId="59BF1F63">
            <w:pPr>
              <w:keepNext w:val="0"/>
              <w:keepLines w:val="0"/>
              <w:pageBreakBefore w:val="0"/>
              <w:widowControl/>
              <w:numPr>
                <w:ilvl w:val="0"/>
                <w:numId w:val="0"/>
              </w:numPr>
              <w:tabs>
                <w:tab w:val="left" w:pos="0"/>
              </w:tabs>
              <w:kinsoku/>
              <w:overflowPunct/>
              <w:topLinePunct w:val="0"/>
              <w:autoSpaceDE/>
              <w:autoSpaceDN/>
              <w:bidi w:val="0"/>
              <w:adjustRightInd w:val="0"/>
              <w:snapToGrid w:val="0"/>
              <w:spacing w:line="320" w:lineRule="exact"/>
              <w:ind w:left="0" w:leftChars="0" w:firstLine="482" w:firstLineChars="200"/>
              <w:textAlignment w:val="auto"/>
              <w:rPr>
                <w:rFonts w:hint="eastAsia" w:ascii="仿宋_GB2312" w:hAnsi="仿宋_GB2312" w:eastAsia="仿宋_GB2312" w:cs="仿宋_GB2312"/>
                <w:b/>
                <w:bCs/>
                <w:color w:val="000000"/>
                <w:kern w:val="0"/>
                <w:sz w:val="24"/>
                <w:szCs w:val="24"/>
              </w:rPr>
            </w:pPr>
            <w:r>
              <w:rPr>
                <w:rFonts w:hint="eastAsia" w:ascii="仿宋_GB2312" w:hAnsi="仿宋_GB2312" w:eastAsia="仿宋_GB2312" w:cs="仿宋_GB2312"/>
                <w:b/>
                <w:bCs/>
                <w:color w:val="000000"/>
                <w:kern w:val="0"/>
                <w:sz w:val="24"/>
                <w:szCs w:val="24"/>
              </w:rPr>
              <w:t xml:space="preserve">六、鉴定活动具有严肃性 </w:t>
            </w:r>
          </w:p>
          <w:p w14:paraId="5EF153EA">
            <w:pPr>
              <w:keepNext w:val="0"/>
              <w:keepLines w:val="0"/>
              <w:pageBreakBefore w:val="0"/>
              <w:widowControl/>
              <w:numPr>
                <w:ilvl w:val="0"/>
                <w:numId w:val="0"/>
              </w:numPr>
              <w:tabs>
                <w:tab w:val="left" w:pos="0"/>
              </w:tabs>
              <w:kinsoku/>
              <w:overflowPunct/>
              <w:topLinePunct w:val="0"/>
              <w:autoSpaceDE/>
              <w:autoSpaceDN/>
              <w:bidi w:val="0"/>
              <w:adjustRightInd w:val="0"/>
              <w:snapToGrid w:val="0"/>
              <w:spacing w:line="320" w:lineRule="exact"/>
              <w:ind w:left="0" w:firstLine="480" w:firstLineChars="200"/>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 xml:space="preserve">鉴定人可以就鉴定委托单位和被鉴定人提出的有关鉴定文书中的专业性问题进行解释，如果被鉴定人仍然有意见或者异议，只能通过庭审质证或者申请其他鉴定机构重新鉴定来解决。 </w:t>
            </w:r>
          </w:p>
          <w:p w14:paraId="52BD7270">
            <w:pPr>
              <w:keepNext w:val="0"/>
              <w:keepLines w:val="0"/>
              <w:pageBreakBefore w:val="0"/>
              <w:widowControl/>
              <w:numPr>
                <w:ilvl w:val="0"/>
                <w:numId w:val="0"/>
              </w:numPr>
              <w:tabs>
                <w:tab w:val="left" w:pos="0"/>
              </w:tabs>
              <w:kinsoku/>
              <w:overflowPunct/>
              <w:topLinePunct w:val="0"/>
              <w:autoSpaceDE/>
              <w:autoSpaceDN/>
              <w:bidi w:val="0"/>
              <w:adjustRightInd w:val="0"/>
              <w:snapToGrid w:val="0"/>
              <w:spacing w:line="320" w:lineRule="exact"/>
              <w:ind w:left="0" w:firstLine="480" w:firstLineChars="200"/>
              <w:textAlignment w:val="auto"/>
              <w:rPr>
                <w:rFonts w:hint="eastAsia" w:ascii="仿宋_GB2312" w:hAnsi="仿宋_GB2312" w:eastAsia="仿宋_GB2312" w:cs="仿宋_GB2312"/>
                <w:color w:val="000000"/>
                <w:kern w:val="0"/>
                <w:sz w:val="24"/>
                <w:szCs w:val="24"/>
              </w:rPr>
            </w:pPr>
          </w:p>
          <w:p w14:paraId="19A545C8">
            <w:pPr>
              <w:keepNext w:val="0"/>
              <w:keepLines w:val="0"/>
              <w:pageBreakBefore w:val="0"/>
              <w:widowControl/>
              <w:numPr>
                <w:ilvl w:val="0"/>
                <w:numId w:val="0"/>
              </w:numPr>
              <w:tabs>
                <w:tab w:val="left" w:pos="0"/>
              </w:tabs>
              <w:kinsoku/>
              <w:overflowPunct/>
              <w:topLinePunct w:val="0"/>
              <w:autoSpaceDE/>
              <w:autoSpaceDN/>
              <w:bidi w:val="0"/>
              <w:adjustRightInd w:val="0"/>
              <w:snapToGrid w:val="0"/>
              <w:spacing w:line="320" w:lineRule="exact"/>
              <w:ind w:left="0" w:leftChars="0" w:firstLine="480" w:firstLineChars="200"/>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 xml:space="preserve">委托方对以上内容已知，无异议。 </w:t>
            </w:r>
          </w:p>
          <w:p w14:paraId="0FFC8A68">
            <w:pPr>
              <w:keepNext w:val="0"/>
              <w:keepLines w:val="0"/>
              <w:pageBreakBefore w:val="0"/>
              <w:widowControl/>
              <w:numPr>
                <w:ilvl w:val="0"/>
                <w:numId w:val="0"/>
              </w:numPr>
              <w:tabs>
                <w:tab w:val="left" w:pos="0"/>
              </w:tabs>
              <w:kinsoku/>
              <w:overflowPunct/>
              <w:topLinePunct w:val="0"/>
              <w:autoSpaceDE/>
              <w:autoSpaceDN/>
              <w:bidi w:val="0"/>
              <w:adjustRightInd w:val="0"/>
              <w:snapToGrid w:val="0"/>
              <w:spacing w:line="320" w:lineRule="exact"/>
              <w:ind w:left="0" w:leftChars="0" w:firstLine="480" w:firstLineChars="200"/>
              <w:textAlignment w:val="auto"/>
              <w:rPr>
                <w:rFonts w:hint="eastAsia" w:ascii="仿宋_GB2312" w:hAnsi="仿宋_GB2312" w:eastAsia="仿宋_GB2312" w:cs="仿宋_GB2312"/>
                <w:color w:val="000000"/>
                <w:kern w:val="0"/>
                <w:sz w:val="24"/>
                <w:szCs w:val="24"/>
              </w:rPr>
            </w:pPr>
          </w:p>
          <w:p w14:paraId="76EDB231">
            <w:pPr>
              <w:keepNext w:val="0"/>
              <w:keepLines w:val="0"/>
              <w:pageBreakBefore w:val="0"/>
              <w:widowControl/>
              <w:numPr>
                <w:ilvl w:val="0"/>
                <w:numId w:val="0"/>
              </w:numPr>
              <w:tabs>
                <w:tab w:val="left" w:pos="0"/>
              </w:tabs>
              <w:kinsoku/>
              <w:overflowPunct/>
              <w:topLinePunct w:val="0"/>
              <w:autoSpaceDE/>
              <w:autoSpaceDN/>
              <w:bidi w:val="0"/>
              <w:adjustRightInd w:val="0"/>
              <w:snapToGrid w:val="0"/>
              <w:spacing w:line="320" w:lineRule="exact"/>
              <w:ind w:left="0" w:leftChars="0" w:firstLine="480" w:firstLineChars="200"/>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 xml:space="preserve">委托方签名（或盖章）： </w:t>
            </w:r>
          </w:p>
          <w:p w14:paraId="60C72861">
            <w:pPr>
              <w:keepNext w:val="0"/>
              <w:keepLines w:val="0"/>
              <w:pageBreakBefore w:val="0"/>
              <w:widowControl/>
              <w:numPr>
                <w:ilvl w:val="0"/>
                <w:numId w:val="0"/>
              </w:numPr>
              <w:tabs>
                <w:tab w:val="left" w:pos="0"/>
              </w:tabs>
              <w:kinsoku/>
              <w:overflowPunct/>
              <w:topLinePunct w:val="0"/>
              <w:autoSpaceDE/>
              <w:autoSpaceDN/>
              <w:bidi w:val="0"/>
              <w:adjustRightInd w:val="0"/>
              <w:snapToGrid w:val="0"/>
              <w:spacing w:line="320" w:lineRule="exact"/>
              <w:ind w:left="0" w:leftChars="0" w:firstLine="0"/>
              <w:textAlignment w:val="auto"/>
              <w:rPr>
                <w:rFonts w:hint="eastAsia" w:ascii="仿宋_GB2312" w:hAnsi="仿宋_GB2312" w:eastAsia="仿宋_GB2312" w:cs="仿宋_GB2312"/>
                <w:color w:val="000000"/>
                <w:kern w:val="0"/>
                <w:sz w:val="24"/>
                <w:szCs w:val="24"/>
                <w:lang w:val="en-US" w:eastAsia="zh-CN"/>
              </w:rPr>
            </w:pPr>
          </w:p>
          <w:p w14:paraId="3DEE3E54">
            <w:pPr>
              <w:keepNext w:val="0"/>
              <w:keepLines w:val="0"/>
              <w:pageBreakBefore w:val="0"/>
              <w:widowControl/>
              <w:numPr>
                <w:ilvl w:val="0"/>
                <w:numId w:val="0"/>
              </w:numPr>
              <w:tabs>
                <w:tab w:val="left" w:pos="0"/>
              </w:tabs>
              <w:kinsoku/>
              <w:wordWrap w:val="0"/>
              <w:overflowPunct/>
              <w:topLinePunct w:val="0"/>
              <w:autoSpaceDE/>
              <w:autoSpaceDN/>
              <w:bidi w:val="0"/>
              <w:adjustRightInd w:val="0"/>
              <w:snapToGrid w:val="0"/>
              <w:spacing w:line="320" w:lineRule="exact"/>
              <w:ind w:left="0" w:firstLine="0"/>
              <w:jc w:val="center"/>
              <w:textAlignment w:val="auto"/>
              <w:rPr>
                <w:rFonts w:hint="eastAsia" w:ascii="仿宋_GB2312" w:hAnsi="仿宋_GB2312" w:eastAsia="仿宋_GB2312" w:cs="仿宋_GB2312"/>
                <w:color w:val="000000"/>
                <w:kern w:val="0"/>
                <w:sz w:val="28"/>
                <w:szCs w:val="28"/>
                <w:lang w:val="en-US" w:eastAsia="zh-CN"/>
              </w:rPr>
            </w:pPr>
            <w:r>
              <w:rPr>
                <w:rFonts w:hint="eastAsia" w:ascii="仿宋_GB2312" w:hAnsi="仿宋_GB2312" w:eastAsia="仿宋_GB2312" w:cs="仿宋_GB2312"/>
                <w:color w:val="000000"/>
                <w:kern w:val="0"/>
                <w:sz w:val="24"/>
                <w:szCs w:val="24"/>
                <w:lang w:val="en-US" w:eastAsia="zh-CN"/>
              </w:rPr>
              <w:t xml:space="preserve">                                       </w:t>
            </w:r>
            <w:r>
              <w:rPr>
                <w:rFonts w:hint="eastAsia" w:ascii="仿宋_GB2312" w:hAnsi="仿宋_GB2312" w:eastAsia="仿宋_GB2312" w:cs="仿宋_GB2312"/>
                <w:color w:val="000000"/>
                <w:kern w:val="0"/>
                <w:sz w:val="24"/>
                <w:szCs w:val="24"/>
              </w:rPr>
              <w:t xml:space="preserve">            年  </w:t>
            </w:r>
            <w:r>
              <w:rPr>
                <w:rFonts w:hint="eastAsia" w:ascii="仿宋_GB2312" w:hAnsi="仿宋_GB2312" w:eastAsia="仿宋_GB2312" w:cs="仿宋_GB2312"/>
                <w:color w:val="000000"/>
                <w:kern w:val="0"/>
                <w:sz w:val="24"/>
                <w:szCs w:val="24"/>
                <w:lang w:val="en-US" w:eastAsia="zh-CN"/>
              </w:rPr>
              <w:t xml:space="preserve"> </w:t>
            </w:r>
            <w:r>
              <w:rPr>
                <w:rFonts w:hint="eastAsia" w:ascii="仿宋_GB2312" w:hAnsi="仿宋_GB2312" w:eastAsia="仿宋_GB2312" w:cs="仿宋_GB2312"/>
                <w:color w:val="000000"/>
                <w:kern w:val="0"/>
                <w:sz w:val="24"/>
                <w:szCs w:val="24"/>
              </w:rPr>
              <w:t>月</w:t>
            </w:r>
            <w:r>
              <w:rPr>
                <w:rFonts w:hint="eastAsia" w:ascii="仿宋_GB2312" w:hAnsi="仿宋_GB2312" w:eastAsia="仿宋_GB2312" w:cs="仿宋_GB2312"/>
                <w:color w:val="000000"/>
                <w:kern w:val="0"/>
                <w:sz w:val="24"/>
                <w:szCs w:val="24"/>
                <w:lang w:val="en-US" w:eastAsia="zh-CN"/>
              </w:rPr>
              <w:t xml:space="preserve">   </w:t>
            </w:r>
            <w:r>
              <w:rPr>
                <w:rFonts w:hint="eastAsia" w:ascii="仿宋_GB2312" w:hAnsi="仿宋_GB2312" w:eastAsia="仿宋_GB2312" w:cs="仿宋_GB2312"/>
                <w:color w:val="000000"/>
                <w:kern w:val="0"/>
                <w:sz w:val="24"/>
                <w:szCs w:val="24"/>
              </w:rPr>
              <w:t>日</w:t>
            </w:r>
            <w:r>
              <w:rPr>
                <w:rFonts w:hint="eastAsia" w:ascii="仿宋_GB2312" w:hAnsi="仿宋_GB2312" w:eastAsia="仿宋_GB2312" w:cs="仿宋_GB2312"/>
                <w:color w:val="000000"/>
                <w:kern w:val="0"/>
                <w:sz w:val="24"/>
                <w:szCs w:val="24"/>
                <w:lang w:val="en-US" w:eastAsia="zh-CN"/>
              </w:rPr>
              <w:t xml:space="preserve"> </w:t>
            </w:r>
            <w:r>
              <w:rPr>
                <w:rFonts w:hint="eastAsia" w:ascii="仿宋_GB2312" w:hAnsi="仿宋_GB2312" w:eastAsia="仿宋_GB2312" w:cs="仿宋_GB2312"/>
                <w:color w:val="000000"/>
                <w:kern w:val="0"/>
                <w:sz w:val="28"/>
                <w:szCs w:val="28"/>
                <w:lang w:val="en-US" w:eastAsia="zh-CN"/>
              </w:rPr>
              <w:t xml:space="preserve"> </w:t>
            </w:r>
          </w:p>
          <w:p w14:paraId="23936A46">
            <w:pPr>
              <w:keepNext w:val="0"/>
              <w:keepLines w:val="0"/>
              <w:pageBreakBefore w:val="0"/>
              <w:widowControl/>
              <w:numPr>
                <w:ilvl w:val="0"/>
                <w:numId w:val="0"/>
              </w:numPr>
              <w:tabs>
                <w:tab w:val="left" w:pos="0"/>
              </w:tabs>
              <w:kinsoku/>
              <w:wordWrap w:val="0"/>
              <w:overflowPunct/>
              <w:topLinePunct w:val="0"/>
              <w:autoSpaceDE/>
              <w:autoSpaceDN/>
              <w:bidi w:val="0"/>
              <w:adjustRightInd w:val="0"/>
              <w:snapToGrid w:val="0"/>
              <w:spacing w:line="320" w:lineRule="exact"/>
              <w:ind w:left="0" w:firstLine="0"/>
              <w:jc w:val="right"/>
              <w:textAlignment w:val="auto"/>
              <w:rPr>
                <w:rFonts w:hint="eastAsia" w:ascii="仿宋_GB2312" w:hAnsi="仿宋_GB2312" w:eastAsia="仿宋_GB2312" w:cs="仿宋_GB2312"/>
                <w:sz w:val="30"/>
                <w:szCs w:val="30"/>
                <w:vertAlign w:val="baseline"/>
              </w:rPr>
            </w:pPr>
            <w:r>
              <w:rPr>
                <w:rFonts w:hint="eastAsia" w:ascii="仿宋_GB2312" w:hAnsi="仿宋_GB2312" w:eastAsia="仿宋_GB2312" w:cs="仿宋_GB2312"/>
                <w:color w:val="000000"/>
                <w:kern w:val="0"/>
                <w:sz w:val="28"/>
                <w:szCs w:val="28"/>
                <w:lang w:val="en-US" w:eastAsia="zh-CN"/>
              </w:rPr>
              <w:t xml:space="preserve"> </w:t>
            </w:r>
          </w:p>
        </w:tc>
      </w:tr>
    </w:tbl>
    <w:p w14:paraId="3112DCBA">
      <w:pPr>
        <w:rPr>
          <w:rFonts w:ascii="宋体" w:hAnsi="宋体"/>
          <w:sz w:val="20"/>
          <w:szCs w:val="20"/>
        </w:rPr>
      </w:pPr>
    </w:p>
    <w:sectPr>
      <w:pgSz w:w="11906" w:h="16838"/>
      <w:pgMar w:top="1417" w:right="1134" w:bottom="1134" w:left="124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4BA5C0C5-3F18-415B-A1A5-C3BA8F113300}"/>
  </w:font>
  <w:font w:name="仿宋_GB2312">
    <w:altName w:val="仿宋"/>
    <w:panose1 w:val="02010609030101010101"/>
    <w:charset w:val="86"/>
    <w:family w:val="modern"/>
    <w:pitch w:val="default"/>
    <w:sig w:usb0="00000000" w:usb1="00000000" w:usb2="00000000" w:usb3="00000000" w:csb0="00040000" w:csb1="00000000"/>
    <w:embedRegular r:id="rId2" w:fontKey="{FC95F2EF-4A91-49C6-A8CC-D9ED262B2274}"/>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B55DC2"/>
    <w:multiLevelType w:val="multilevel"/>
    <w:tmpl w:val="60B55DC2"/>
    <w:lvl w:ilvl="0" w:tentative="0">
      <w:start w:val="1"/>
      <w:numFmt w:val="upperLetter"/>
      <w:lvlText w:val="%1"/>
      <w:lvlJc w:val="left"/>
      <w:pPr>
        <w:tabs>
          <w:tab w:val="left" w:pos="0"/>
        </w:tabs>
        <w:ind w:left="0" w:hanging="425"/>
      </w:pPr>
      <w:rPr>
        <w:rFonts w:hint="eastAsia"/>
      </w:rPr>
    </w:lvl>
    <w:lvl w:ilvl="1" w:tentative="0">
      <w:start w:val="1"/>
      <w:numFmt w:val="decimal"/>
      <w:pStyle w:val="16"/>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1">
    <w:nsid w:val="657D3FBC"/>
    <w:multiLevelType w:val="multilevel"/>
    <w:tmpl w:val="657D3FBC"/>
    <w:lvl w:ilvl="0" w:tentative="0">
      <w:start w:val="1"/>
      <w:numFmt w:val="upperLetter"/>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pStyle w:val="14"/>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TcwN2JlYzFjZTk0NWE3ZmJjOTZhNjQwYTBjYWMzYmIifQ=="/>
  </w:docVars>
  <w:rsids>
    <w:rsidRoot w:val="59B82642"/>
    <w:rsid w:val="00206C37"/>
    <w:rsid w:val="00500138"/>
    <w:rsid w:val="00642E8C"/>
    <w:rsid w:val="009518D7"/>
    <w:rsid w:val="00A67D58"/>
    <w:rsid w:val="00BF0AAD"/>
    <w:rsid w:val="01425CA9"/>
    <w:rsid w:val="0216715F"/>
    <w:rsid w:val="024D1D5B"/>
    <w:rsid w:val="026820FD"/>
    <w:rsid w:val="027102D6"/>
    <w:rsid w:val="02C83070"/>
    <w:rsid w:val="02FE1A99"/>
    <w:rsid w:val="03BE360A"/>
    <w:rsid w:val="03E147C5"/>
    <w:rsid w:val="04C34475"/>
    <w:rsid w:val="05793C8D"/>
    <w:rsid w:val="0615684E"/>
    <w:rsid w:val="067B1C2C"/>
    <w:rsid w:val="073C7E17"/>
    <w:rsid w:val="074259BA"/>
    <w:rsid w:val="077D5E72"/>
    <w:rsid w:val="07D00964"/>
    <w:rsid w:val="07D16002"/>
    <w:rsid w:val="084D1C56"/>
    <w:rsid w:val="0973219E"/>
    <w:rsid w:val="09AC1E04"/>
    <w:rsid w:val="09BF4B45"/>
    <w:rsid w:val="09EE7E72"/>
    <w:rsid w:val="0A1C3517"/>
    <w:rsid w:val="0A2D5046"/>
    <w:rsid w:val="0A5624D8"/>
    <w:rsid w:val="0A6D7B38"/>
    <w:rsid w:val="0ABE6842"/>
    <w:rsid w:val="0ADF7469"/>
    <w:rsid w:val="0B054E29"/>
    <w:rsid w:val="0BB974D9"/>
    <w:rsid w:val="0C2A56CE"/>
    <w:rsid w:val="0C2B0EE0"/>
    <w:rsid w:val="0C9719C3"/>
    <w:rsid w:val="0D8A7FDB"/>
    <w:rsid w:val="0DF51B66"/>
    <w:rsid w:val="0E3604A8"/>
    <w:rsid w:val="0ED22965"/>
    <w:rsid w:val="0F6E4E33"/>
    <w:rsid w:val="105570A4"/>
    <w:rsid w:val="12192A7F"/>
    <w:rsid w:val="12491E5B"/>
    <w:rsid w:val="128D647C"/>
    <w:rsid w:val="129D3813"/>
    <w:rsid w:val="136F3FD6"/>
    <w:rsid w:val="13AD2A7D"/>
    <w:rsid w:val="14577A57"/>
    <w:rsid w:val="147F6DE6"/>
    <w:rsid w:val="14BA1BCC"/>
    <w:rsid w:val="150778BD"/>
    <w:rsid w:val="154716B1"/>
    <w:rsid w:val="15FD3F46"/>
    <w:rsid w:val="16026BD5"/>
    <w:rsid w:val="165A18B8"/>
    <w:rsid w:val="16637369"/>
    <w:rsid w:val="168776CE"/>
    <w:rsid w:val="16C805D0"/>
    <w:rsid w:val="17242101"/>
    <w:rsid w:val="177B5642"/>
    <w:rsid w:val="17B60D70"/>
    <w:rsid w:val="17D8085C"/>
    <w:rsid w:val="18307D10"/>
    <w:rsid w:val="183B5651"/>
    <w:rsid w:val="1844012A"/>
    <w:rsid w:val="1941466A"/>
    <w:rsid w:val="198A015E"/>
    <w:rsid w:val="1A0758B3"/>
    <w:rsid w:val="1A7D6AF2"/>
    <w:rsid w:val="1A7F369B"/>
    <w:rsid w:val="1ABA2925"/>
    <w:rsid w:val="1AD633D4"/>
    <w:rsid w:val="1B2563B0"/>
    <w:rsid w:val="1B4F3990"/>
    <w:rsid w:val="1B9B4C08"/>
    <w:rsid w:val="1BC73EFB"/>
    <w:rsid w:val="1BDC6730"/>
    <w:rsid w:val="1C226100"/>
    <w:rsid w:val="1C626838"/>
    <w:rsid w:val="1CC963A5"/>
    <w:rsid w:val="1E453626"/>
    <w:rsid w:val="1E9D38A2"/>
    <w:rsid w:val="1EAE3B39"/>
    <w:rsid w:val="1EDD568A"/>
    <w:rsid w:val="1EF25B1B"/>
    <w:rsid w:val="1EF377F4"/>
    <w:rsid w:val="1F697C8A"/>
    <w:rsid w:val="1FA86505"/>
    <w:rsid w:val="1FC402D0"/>
    <w:rsid w:val="20855A80"/>
    <w:rsid w:val="20895274"/>
    <w:rsid w:val="217072C3"/>
    <w:rsid w:val="21D175BF"/>
    <w:rsid w:val="22196261"/>
    <w:rsid w:val="22AA7FA7"/>
    <w:rsid w:val="23425BAE"/>
    <w:rsid w:val="234A35CE"/>
    <w:rsid w:val="237738F9"/>
    <w:rsid w:val="23B16245"/>
    <w:rsid w:val="23C53FDB"/>
    <w:rsid w:val="24F70E83"/>
    <w:rsid w:val="255D402C"/>
    <w:rsid w:val="25733DFD"/>
    <w:rsid w:val="27383550"/>
    <w:rsid w:val="27803CEE"/>
    <w:rsid w:val="28A357C5"/>
    <w:rsid w:val="28E37188"/>
    <w:rsid w:val="290028DF"/>
    <w:rsid w:val="291E22D1"/>
    <w:rsid w:val="299A1A87"/>
    <w:rsid w:val="2A325CAE"/>
    <w:rsid w:val="2A4E1F42"/>
    <w:rsid w:val="2B110137"/>
    <w:rsid w:val="2B1B509E"/>
    <w:rsid w:val="2B3753E3"/>
    <w:rsid w:val="2B4E04FC"/>
    <w:rsid w:val="2BAF3518"/>
    <w:rsid w:val="2C2F6E0A"/>
    <w:rsid w:val="2C914874"/>
    <w:rsid w:val="2CBF5B79"/>
    <w:rsid w:val="2CCD64E8"/>
    <w:rsid w:val="2D406CBA"/>
    <w:rsid w:val="2DD96993"/>
    <w:rsid w:val="2E9B0F83"/>
    <w:rsid w:val="2EAE09C1"/>
    <w:rsid w:val="2F36467E"/>
    <w:rsid w:val="2F5B1FCF"/>
    <w:rsid w:val="308C0468"/>
    <w:rsid w:val="30B31F80"/>
    <w:rsid w:val="310F263A"/>
    <w:rsid w:val="317807AA"/>
    <w:rsid w:val="32C033FB"/>
    <w:rsid w:val="33A51AB7"/>
    <w:rsid w:val="33EA1696"/>
    <w:rsid w:val="33F202B7"/>
    <w:rsid w:val="343926B5"/>
    <w:rsid w:val="34550CBD"/>
    <w:rsid w:val="35156C7E"/>
    <w:rsid w:val="353864B0"/>
    <w:rsid w:val="35983459"/>
    <w:rsid w:val="35BE7A8E"/>
    <w:rsid w:val="35EB01A5"/>
    <w:rsid w:val="369411B6"/>
    <w:rsid w:val="369E57AC"/>
    <w:rsid w:val="36E97C36"/>
    <w:rsid w:val="3739795C"/>
    <w:rsid w:val="373B7263"/>
    <w:rsid w:val="37955E55"/>
    <w:rsid w:val="37DD476B"/>
    <w:rsid w:val="383439D5"/>
    <w:rsid w:val="38620D0C"/>
    <w:rsid w:val="386F66A6"/>
    <w:rsid w:val="38A31F2B"/>
    <w:rsid w:val="391E271B"/>
    <w:rsid w:val="39D37108"/>
    <w:rsid w:val="3ABC575D"/>
    <w:rsid w:val="3B6D049F"/>
    <w:rsid w:val="3BE50B42"/>
    <w:rsid w:val="3C0D345A"/>
    <w:rsid w:val="3D7529B0"/>
    <w:rsid w:val="3E0B0342"/>
    <w:rsid w:val="3E1C6400"/>
    <w:rsid w:val="3E4660FB"/>
    <w:rsid w:val="3EA431ED"/>
    <w:rsid w:val="3EEC55F0"/>
    <w:rsid w:val="3F9F5E82"/>
    <w:rsid w:val="40356D20"/>
    <w:rsid w:val="404C3770"/>
    <w:rsid w:val="40C07696"/>
    <w:rsid w:val="411F02F9"/>
    <w:rsid w:val="41744D2D"/>
    <w:rsid w:val="41C82008"/>
    <w:rsid w:val="41CF6407"/>
    <w:rsid w:val="42E32228"/>
    <w:rsid w:val="42EC3109"/>
    <w:rsid w:val="43193F82"/>
    <w:rsid w:val="435B43F6"/>
    <w:rsid w:val="43893EEA"/>
    <w:rsid w:val="447514E8"/>
    <w:rsid w:val="45156827"/>
    <w:rsid w:val="460B5944"/>
    <w:rsid w:val="46451E79"/>
    <w:rsid w:val="465C4B21"/>
    <w:rsid w:val="46631584"/>
    <w:rsid w:val="46B207D1"/>
    <w:rsid w:val="47592A82"/>
    <w:rsid w:val="47A7180D"/>
    <w:rsid w:val="47D8680A"/>
    <w:rsid w:val="47F0219B"/>
    <w:rsid w:val="482976A2"/>
    <w:rsid w:val="484216E1"/>
    <w:rsid w:val="48516274"/>
    <w:rsid w:val="487702FE"/>
    <w:rsid w:val="489108BA"/>
    <w:rsid w:val="49F17862"/>
    <w:rsid w:val="4A4B3A40"/>
    <w:rsid w:val="4A4D5C23"/>
    <w:rsid w:val="4A8E198C"/>
    <w:rsid w:val="4B305776"/>
    <w:rsid w:val="4B5B1AA3"/>
    <w:rsid w:val="4B891409"/>
    <w:rsid w:val="4B8E6E89"/>
    <w:rsid w:val="4C73638E"/>
    <w:rsid w:val="4C8A3FFC"/>
    <w:rsid w:val="4CB6269D"/>
    <w:rsid w:val="4E1E25AB"/>
    <w:rsid w:val="4F614F88"/>
    <w:rsid w:val="4F9C79A6"/>
    <w:rsid w:val="5141363B"/>
    <w:rsid w:val="51795B2E"/>
    <w:rsid w:val="518634B0"/>
    <w:rsid w:val="51C21436"/>
    <w:rsid w:val="51CF50DD"/>
    <w:rsid w:val="51FA75DE"/>
    <w:rsid w:val="52003312"/>
    <w:rsid w:val="520143BB"/>
    <w:rsid w:val="52F165FC"/>
    <w:rsid w:val="530C7F47"/>
    <w:rsid w:val="530D1447"/>
    <w:rsid w:val="5314011E"/>
    <w:rsid w:val="533C1324"/>
    <w:rsid w:val="533D5FFD"/>
    <w:rsid w:val="53883630"/>
    <w:rsid w:val="539650A5"/>
    <w:rsid w:val="53F07816"/>
    <w:rsid w:val="54482775"/>
    <w:rsid w:val="55895335"/>
    <w:rsid w:val="55BC522F"/>
    <w:rsid w:val="55DF2C65"/>
    <w:rsid w:val="5629794C"/>
    <w:rsid w:val="563D7950"/>
    <w:rsid w:val="56CF5824"/>
    <w:rsid w:val="570D735E"/>
    <w:rsid w:val="572834F9"/>
    <w:rsid w:val="57B82298"/>
    <w:rsid w:val="57BD3434"/>
    <w:rsid w:val="57DA69E8"/>
    <w:rsid w:val="58A67DD1"/>
    <w:rsid w:val="58DB780C"/>
    <w:rsid w:val="59253085"/>
    <w:rsid w:val="59B82642"/>
    <w:rsid w:val="59F20F02"/>
    <w:rsid w:val="5A054C64"/>
    <w:rsid w:val="5A943A15"/>
    <w:rsid w:val="5ACE14FA"/>
    <w:rsid w:val="5B125647"/>
    <w:rsid w:val="5B2B06FA"/>
    <w:rsid w:val="5B590DC3"/>
    <w:rsid w:val="5B696F6C"/>
    <w:rsid w:val="5B763708"/>
    <w:rsid w:val="5B93792A"/>
    <w:rsid w:val="5B9404C9"/>
    <w:rsid w:val="5B965532"/>
    <w:rsid w:val="5CDF354A"/>
    <w:rsid w:val="5D24469B"/>
    <w:rsid w:val="5D355860"/>
    <w:rsid w:val="5D927C52"/>
    <w:rsid w:val="5DA97E4D"/>
    <w:rsid w:val="5DDE7CA6"/>
    <w:rsid w:val="5E0601F1"/>
    <w:rsid w:val="5F3956C0"/>
    <w:rsid w:val="5F4A1B10"/>
    <w:rsid w:val="5F990586"/>
    <w:rsid w:val="5FB07420"/>
    <w:rsid w:val="5FC709F1"/>
    <w:rsid w:val="5FE459DD"/>
    <w:rsid w:val="60CA4511"/>
    <w:rsid w:val="61482192"/>
    <w:rsid w:val="61A1108F"/>
    <w:rsid w:val="61E3278D"/>
    <w:rsid w:val="61F8783F"/>
    <w:rsid w:val="62425CCF"/>
    <w:rsid w:val="62C31218"/>
    <w:rsid w:val="62C456BC"/>
    <w:rsid w:val="62EE78CF"/>
    <w:rsid w:val="63454C6B"/>
    <w:rsid w:val="636533B1"/>
    <w:rsid w:val="63CB65D6"/>
    <w:rsid w:val="64911C85"/>
    <w:rsid w:val="64AC1776"/>
    <w:rsid w:val="65051FBC"/>
    <w:rsid w:val="654F0FE3"/>
    <w:rsid w:val="66146926"/>
    <w:rsid w:val="66AB58E3"/>
    <w:rsid w:val="66C74BD6"/>
    <w:rsid w:val="672B02FE"/>
    <w:rsid w:val="67AA3C86"/>
    <w:rsid w:val="67D82B11"/>
    <w:rsid w:val="67DC6B15"/>
    <w:rsid w:val="681C38A5"/>
    <w:rsid w:val="68364600"/>
    <w:rsid w:val="6839711F"/>
    <w:rsid w:val="683D0D6E"/>
    <w:rsid w:val="685079F2"/>
    <w:rsid w:val="689A2A1B"/>
    <w:rsid w:val="694B0980"/>
    <w:rsid w:val="697F767F"/>
    <w:rsid w:val="6A561B30"/>
    <w:rsid w:val="6A5E5D0F"/>
    <w:rsid w:val="6AC4614D"/>
    <w:rsid w:val="6ADC556D"/>
    <w:rsid w:val="6B4764D8"/>
    <w:rsid w:val="6B5E2426"/>
    <w:rsid w:val="6BF92854"/>
    <w:rsid w:val="6C0C5F81"/>
    <w:rsid w:val="6C5A2F40"/>
    <w:rsid w:val="6C870A40"/>
    <w:rsid w:val="6CF869D2"/>
    <w:rsid w:val="6E1A1AD3"/>
    <w:rsid w:val="6E4F18D4"/>
    <w:rsid w:val="6F1C062E"/>
    <w:rsid w:val="6F212F57"/>
    <w:rsid w:val="6F8A157D"/>
    <w:rsid w:val="6F9A2F0D"/>
    <w:rsid w:val="70EC0FBF"/>
    <w:rsid w:val="71CF438E"/>
    <w:rsid w:val="71EB3B32"/>
    <w:rsid w:val="721E268E"/>
    <w:rsid w:val="72293DA5"/>
    <w:rsid w:val="72BB14B6"/>
    <w:rsid w:val="72D541FC"/>
    <w:rsid w:val="73311549"/>
    <w:rsid w:val="733F2B3D"/>
    <w:rsid w:val="736A2763"/>
    <w:rsid w:val="73931A0F"/>
    <w:rsid w:val="74EC45FF"/>
    <w:rsid w:val="7516167C"/>
    <w:rsid w:val="75401D65"/>
    <w:rsid w:val="756E5C8B"/>
    <w:rsid w:val="75721D03"/>
    <w:rsid w:val="75AF3192"/>
    <w:rsid w:val="75AF5B8D"/>
    <w:rsid w:val="760A1083"/>
    <w:rsid w:val="765B7164"/>
    <w:rsid w:val="76F02B96"/>
    <w:rsid w:val="776B272F"/>
    <w:rsid w:val="780D4890"/>
    <w:rsid w:val="782B182B"/>
    <w:rsid w:val="784F3157"/>
    <w:rsid w:val="78764A5D"/>
    <w:rsid w:val="79811468"/>
    <w:rsid w:val="79D74D34"/>
    <w:rsid w:val="7ABC49EC"/>
    <w:rsid w:val="7B5446E5"/>
    <w:rsid w:val="7BB5432D"/>
    <w:rsid w:val="7C60569E"/>
    <w:rsid w:val="7CA13F21"/>
    <w:rsid w:val="7CFB5D27"/>
    <w:rsid w:val="7D5B4A17"/>
    <w:rsid w:val="7DD855B1"/>
    <w:rsid w:val="7E470AF8"/>
    <w:rsid w:val="7F3217A8"/>
    <w:rsid w:val="7F343406"/>
    <w:rsid w:val="7F3617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eastAsiaTheme="minorEastAsia" w:cstheme="minorBidi"/>
      <w:szCs w:val="22"/>
    </w:rPr>
  </w:style>
  <w:style w:type="paragraph" w:styleId="3">
    <w:name w:val="Balloon Text"/>
    <w:basedOn w:val="1"/>
    <w:link w:val="11"/>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page number"/>
    <w:basedOn w:val="8"/>
    <w:qFormat/>
    <w:uiPriority w:val="0"/>
  </w:style>
  <w:style w:type="paragraph" w:customStyle="1" w:styleId="10">
    <w:name w:val="列出段落1"/>
    <w:basedOn w:val="1"/>
    <w:qFormat/>
    <w:uiPriority w:val="34"/>
    <w:pPr>
      <w:ind w:firstLine="420" w:firstLineChars="200"/>
    </w:pPr>
  </w:style>
  <w:style w:type="character" w:customStyle="1" w:styleId="11">
    <w:name w:val="批注框文本 Char"/>
    <w:basedOn w:val="8"/>
    <w:link w:val="3"/>
    <w:qFormat/>
    <w:uiPriority w:val="0"/>
    <w:rPr>
      <w:rFonts w:ascii="Times New Roman" w:hAnsi="Times New Roman" w:eastAsia="宋体" w:cs="Times New Roman"/>
      <w:kern w:val="2"/>
      <w:sz w:val="18"/>
      <w:szCs w:val="18"/>
    </w:rPr>
  </w:style>
  <w:style w:type="table" w:customStyle="1" w:styleId="12">
    <w:name w:val="Table Normal"/>
    <w:semiHidden/>
    <w:unhideWhenUsed/>
    <w:qFormat/>
    <w:uiPriority w:val="0"/>
    <w:tblPr>
      <w:tblCellMar>
        <w:top w:w="0" w:type="dxa"/>
        <w:left w:w="0" w:type="dxa"/>
        <w:bottom w:w="0" w:type="dxa"/>
        <w:right w:w="0" w:type="dxa"/>
      </w:tblCellMar>
    </w:tblPr>
  </w:style>
  <w:style w:type="paragraph" w:customStyle="1" w:styleId="13">
    <w:name w:val="List Paragraph"/>
    <w:basedOn w:val="1"/>
    <w:qFormat/>
    <w:uiPriority w:val="0"/>
    <w:pPr>
      <w:ind w:firstLine="420" w:firstLineChars="200"/>
    </w:pPr>
  </w:style>
  <w:style w:type="paragraph" w:customStyle="1" w:styleId="14">
    <w:name w:val="附录章标题"/>
    <w:next w:val="15"/>
    <w:qFormat/>
    <w:uiPriority w:val="0"/>
    <w:pPr>
      <w:numPr>
        <w:ilvl w:val="1"/>
        <w:numId w:val="1"/>
      </w:numPr>
      <w:tabs>
        <w:tab w:val="left" w:pos="360"/>
      </w:tabs>
      <w:wordWrap w:val="0"/>
      <w:overflowPunct w:val="0"/>
      <w:autoSpaceDE w:val="0"/>
      <w:spacing w:before="100" w:beforeLines="100" w:after="100" w:afterLines="100"/>
      <w:jc w:val="both"/>
      <w:textAlignment w:val="baseline"/>
      <w:outlineLvl w:val="1"/>
    </w:pPr>
    <w:rPr>
      <w:rFonts w:ascii="黑体" w:hAnsi="Times New Roman" w:eastAsia="黑体" w:cs="Times New Roman"/>
      <w:kern w:val="21"/>
      <w:sz w:val="21"/>
      <w:szCs w:val="20"/>
      <w:lang w:val="en-US" w:eastAsia="zh-CN" w:bidi="ar-SA"/>
    </w:rPr>
  </w:style>
  <w:style w:type="paragraph" w:customStyle="1" w:styleId="15">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kern w:val="0"/>
      <w:sz w:val="21"/>
      <w:szCs w:val="20"/>
      <w:lang w:val="en-US" w:eastAsia="zh-CN" w:bidi="ar-SA"/>
    </w:rPr>
  </w:style>
  <w:style w:type="paragraph" w:customStyle="1" w:styleId="16">
    <w:name w:val="附录表标题"/>
    <w:basedOn w:val="1"/>
    <w:next w:val="15"/>
    <w:qFormat/>
    <w:uiPriority w:val="0"/>
    <w:pPr>
      <w:numPr>
        <w:ilvl w:val="1"/>
        <w:numId w:val="2"/>
      </w:numPr>
      <w:tabs>
        <w:tab w:val="left" w:pos="180"/>
      </w:tabs>
      <w:spacing w:before="50" w:beforeLines="50" w:after="50" w:afterLines="50"/>
      <w:ind w:left="0" w:firstLine="0"/>
      <w:jc w:val="center"/>
    </w:pPr>
    <w:rPr>
      <w:rFonts w:ascii="黑体" w:eastAsia="黑体"/>
      <w:szCs w:val="21"/>
    </w:rPr>
  </w:style>
  <w:style w:type="paragraph" w:customStyle="1" w:styleId="17">
    <w:name w:val="终结线"/>
    <w:basedOn w:val="1"/>
    <w:qFormat/>
    <w:uiPriority w:val="0"/>
    <w:pPr>
      <w:framePr w:hSpace="181" w:vSpace="181" w:wrap="around" w:vAnchor="text" w:hAnchor="margin" w:xAlign="center" w:y="285"/>
    </w:pPr>
  </w:style>
  <w:style w:type="paragraph" w:customStyle="1" w:styleId="18">
    <w:name w:val="标准书脚_奇数页"/>
    <w:qFormat/>
    <w:uiPriority w:val="0"/>
    <w:pPr>
      <w:spacing w:before="120"/>
      <w:ind w:right="198"/>
      <w:jc w:val="right"/>
    </w:pPr>
    <w:rPr>
      <w:rFonts w:ascii="宋体" w:hAnsi="Times New Roman" w:eastAsia="宋体" w:cs="Times New Roman"/>
      <w:kern w:val="0"/>
      <w:sz w:val="18"/>
      <w:szCs w:val="1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864</Words>
  <Characters>869</Characters>
  <Lines>20</Lines>
  <Paragraphs>11</Paragraphs>
  <TotalTime>2</TotalTime>
  <ScaleCrop>false</ScaleCrop>
  <LinksUpToDate>false</LinksUpToDate>
  <CharactersWithSpaces>962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2022-04-04T09:32:00Z</dcterms:created>
  <dc:creator>程° L</dc:creator>
  <cp:lastModifiedBy>河南至公-综合、工程</cp:lastModifiedBy>
  <cp:lastPrinted>2023-05-29T06:12:00Z</cp:lastPrinted>
  <dcterms:modified xsi:type="dcterms:W3CDTF">2026-09-13T08:32:49Z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6580C41CFB894CD7BBEFEAC0F6514A6A</vt:lpwstr>
  </property>
  <property fmtid="{D5CDD505-2E9C-101B-9397-08002B2CF9AE}" pid="4" name="KSOTemplateDocerSaveRecord">
    <vt:lpwstr>eyJoZGlkIjoiNjZkZGRmNTNiZjg3MjVmYzcwNDlhNGI3N2U2NjA2MTAiLCJ1c2VySWQiOiIxMjE3NDAxNzg3In0=</vt:lpwstr>
  </property>
</Properties>
</file>